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3A795" w14:textId="49B22827" w:rsidR="00261DA6" w:rsidRPr="007E43A8" w:rsidRDefault="000E6D1D" w:rsidP="000E6D1D">
      <w:pPr>
        <w:jc w:val="center"/>
        <w:rPr>
          <w:rFonts w:asciiTheme="minorEastAsia" w:hAnsiTheme="minorEastAsia"/>
        </w:rPr>
      </w:pPr>
      <w:bookmarkStart w:id="0" w:name="_GoBack"/>
      <w:r w:rsidRPr="007E43A8">
        <w:rPr>
          <w:rFonts w:asciiTheme="minorEastAsia" w:hAnsiTheme="minorEastAsia"/>
          <w:noProof/>
        </w:rPr>
        <w:drawing>
          <wp:inline distT="0" distB="0" distL="0" distR="0" wp14:anchorId="1126AAF3" wp14:editId="362878E1">
            <wp:extent cx="2904490" cy="1867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tra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20" cy="188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46E5" w14:textId="759B9A27" w:rsidR="000E6D1D" w:rsidRPr="007E43A8" w:rsidRDefault="000E6D1D" w:rsidP="000E6D1D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14:paraId="6D75B7A3" w14:textId="1520F144" w:rsidR="000E6D1D" w:rsidRPr="007E43A8" w:rsidRDefault="000E6D1D" w:rsidP="000E6D1D">
      <w:pPr>
        <w:jc w:val="center"/>
        <w:rPr>
          <w:rFonts w:asciiTheme="minorEastAsia" w:hAnsiTheme="minorEastAsia" w:cs="Times New Roman"/>
          <w:b/>
          <w:color w:val="2F5496" w:themeColor="accent1" w:themeShade="BF"/>
          <w:sz w:val="32"/>
          <w:szCs w:val="32"/>
        </w:rPr>
      </w:pPr>
      <w:r w:rsidRPr="007E43A8">
        <w:rPr>
          <w:rFonts w:asciiTheme="minorEastAsia" w:hAnsiTheme="minorEastAsia" w:cs="Times New Roman"/>
          <w:b/>
          <w:color w:val="2F5496" w:themeColor="accent1" w:themeShade="BF"/>
          <w:sz w:val="32"/>
          <w:szCs w:val="32"/>
        </w:rPr>
        <w:t>TOOLS FOR CALCULATING GIBBON DENSITY FROM CALLS.</w:t>
      </w:r>
    </w:p>
    <w:p w14:paraId="2BD47168" w14:textId="100F6300" w:rsidR="000E6D1D" w:rsidRPr="007E43A8" w:rsidRDefault="000E6D1D" w:rsidP="000E6D1D">
      <w:pPr>
        <w:jc w:val="center"/>
        <w:rPr>
          <w:rFonts w:asciiTheme="minorEastAsia" w:hAnsiTheme="minorEastAsia" w:cs="Times New Roman"/>
          <w:b/>
          <w:color w:val="2F5496" w:themeColor="accent1" w:themeShade="BF"/>
          <w:sz w:val="32"/>
          <w:szCs w:val="32"/>
        </w:rPr>
      </w:pPr>
    </w:p>
    <w:p w14:paraId="39559DAA" w14:textId="153BE1D7" w:rsidR="000E6D1D" w:rsidRPr="007E43A8" w:rsidRDefault="000E6D1D" w:rsidP="007E43A8">
      <w:pPr>
        <w:pStyle w:val="ListParagraph"/>
        <w:numPr>
          <w:ilvl w:val="0"/>
          <w:numId w:val="1"/>
        </w:numPr>
        <w:jc w:val="both"/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</w:pPr>
      <w:r w:rsidRPr="007E43A8"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  <w:t xml:space="preserve">New tools for determining gibbon density from song data are now available. The manual for ASCR can be found </w:t>
      </w:r>
      <w:hyperlink r:id="rId6" w:history="1">
        <w:r w:rsidRPr="007E43A8">
          <w:rPr>
            <w:rStyle w:val="Hyperlink"/>
            <w:rFonts w:asciiTheme="minorEastAsia" w:hAnsiTheme="minorEastAsia" w:cs="Times New Roman"/>
            <w:color w:val="007FAC"/>
            <w:sz w:val="32"/>
            <w:szCs w:val="32"/>
          </w:rPr>
          <w:t>here</w:t>
        </w:r>
      </w:hyperlink>
      <w:r w:rsidRPr="007E43A8"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  <w:t>.</w:t>
      </w:r>
    </w:p>
    <w:p w14:paraId="3553B758" w14:textId="77777777" w:rsidR="007E43A8" w:rsidRPr="007E43A8" w:rsidRDefault="007E43A8" w:rsidP="007E43A8">
      <w:pPr>
        <w:pStyle w:val="ListParagraph"/>
        <w:jc w:val="both"/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</w:pPr>
    </w:p>
    <w:p w14:paraId="68981361" w14:textId="67AD7452" w:rsidR="000E6D1D" w:rsidRPr="007E43A8" w:rsidRDefault="000E6D1D" w:rsidP="007E43A8">
      <w:pPr>
        <w:pStyle w:val="ListParagraph"/>
        <w:numPr>
          <w:ilvl w:val="0"/>
          <w:numId w:val="1"/>
        </w:numPr>
        <w:jc w:val="both"/>
        <w:rPr>
          <w:rFonts w:asciiTheme="minorEastAsia" w:hAnsiTheme="minorEastAsia" w:cs="Times New Roman"/>
          <w:sz w:val="32"/>
          <w:szCs w:val="32"/>
        </w:rPr>
      </w:pPr>
      <w:r w:rsidRPr="007E43A8"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  <w:t xml:space="preserve">Acoustic Spatial Capture-recapture (ASCR) package can be found </w:t>
      </w:r>
      <w:hyperlink r:id="rId7" w:history="1">
        <w:r w:rsidRPr="007E43A8">
          <w:rPr>
            <w:rStyle w:val="Hyperlink"/>
            <w:rFonts w:asciiTheme="minorEastAsia" w:hAnsiTheme="minorEastAsia" w:cs="Times New Roman"/>
            <w:color w:val="007FAC"/>
            <w:sz w:val="32"/>
            <w:szCs w:val="32"/>
          </w:rPr>
          <w:t>here.</w:t>
        </w:r>
      </w:hyperlink>
    </w:p>
    <w:p w14:paraId="350CA675" w14:textId="77777777" w:rsidR="007E43A8" w:rsidRPr="007E43A8" w:rsidRDefault="007E43A8" w:rsidP="007E43A8">
      <w:pPr>
        <w:pStyle w:val="ListParagraph"/>
        <w:rPr>
          <w:rFonts w:asciiTheme="minorEastAsia" w:hAnsiTheme="minorEastAsia" w:cs="Times New Roman"/>
          <w:sz w:val="32"/>
          <w:szCs w:val="32"/>
        </w:rPr>
      </w:pPr>
    </w:p>
    <w:p w14:paraId="6D34A80A" w14:textId="575B7716" w:rsidR="000E6D1D" w:rsidRPr="007E43A8" w:rsidRDefault="000E6D1D" w:rsidP="007E43A8">
      <w:pPr>
        <w:pStyle w:val="ListParagraph"/>
        <w:numPr>
          <w:ilvl w:val="0"/>
          <w:numId w:val="1"/>
        </w:numPr>
        <w:jc w:val="both"/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</w:pPr>
      <w:r w:rsidRPr="007E43A8"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  <w:t xml:space="preserve">A tutorial video for ASCR can be found </w:t>
      </w:r>
      <w:hyperlink r:id="rId8" w:history="1">
        <w:r w:rsidRPr="007E43A8">
          <w:rPr>
            <w:rStyle w:val="Hyperlink"/>
            <w:rFonts w:asciiTheme="minorEastAsia" w:hAnsiTheme="minorEastAsia" w:cs="Times New Roman"/>
            <w:color w:val="007FAC"/>
            <w:sz w:val="32"/>
            <w:szCs w:val="32"/>
          </w:rPr>
          <w:t>here</w:t>
        </w:r>
      </w:hyperlink>
      <w:r w:rsidRPr="007E43A8"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  <w:t>.</w:t>
      </w:r>
    </w:p>
    <w:p w14:paraId="3BA9A342" w14:textId="77777777" w:rsidR="007E43A8" w:rsidRPr="007E43A8" w:rsidRDefault="007E43A8" w:rsidP="007E43A8">
      <w:pPr>
        <w:pStyle w:val="ListParagraph"/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</w:pPr>
    </w:p>
    <w:p w14:paraId="54BB70F7" w14:textId="15D293CA" w:rsidR="000E6D1D" w:rsidRPr="007E43A8" w:rsidRDefault="000E6D1D" w:rsidP="007E43A8">
      <w:pPr>
        <w:pStyle w:val="ListParagraph"/>
        <w:numPr>
          <w:ilvl w:val="0"/>
          <w:numId w:val="1"/>
        </w:numPr>
        <w:jc w:val="both"/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</w:pPr>
      <w:r w:rsidRPr="007E43A8"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  <w:t xml:space="preserve">Further documentation about the ASCR package can be found </w:t>
      </w:r>
      <w:hyperlink r:id="rId9" w:history="1">
        <w:r w:rsidRPr="007E43A8">
          <w:rPr>
            <w:rStyle w:val="Hyperlink"/>
            <w:rFonts w:asciiTheme="minorEastAsia" w:hAnsiTheme="minorEastAsia" w:cs="Times New Roman"/>
            <w:color w:val="007FAC"/>
            <w:sz w:val="32"/>
            <w:szCs w:val="32"/>
          </w:rPr>
          <w:t>here</w:t>
        </w:r>
      </w:hyperlink>
      <w:r w:rsidRPr="007E43A8"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  <w:t>.</w:t>
      </w:r>
    </w:p>
    <w:p w14:paraId="248C9D85" w14:textId="77777777" w:rsidR="007E43A8" w:rsidRPr="007E43A8" w:rsidRDefault="007E43A8" w:rsidP="007E43A8">
      <w:pPr>
        <w:pStyle w:val="ListParagraph"/>
        <w:rPr>
          <w:rFonts w:asciiTheme="minorEastAsia" w:hAnsiTheme="minorEastAsia" w:cs="Times New Roman"/>
          <w:color w:val="191E23"/>
          <w:sz w:val="32"/>
          <w:szCs w:val="32"/>
          <w:shd w:val="clear" w:color="auto" w:fill="FFFFFF"/>
        </w:rPr>
      </w:pPr>
    </w:p>
    <w:p w14:paraId="09BF67D9" w14:textId="0701C070" w:rsidR="000E6D1D" w:rsidRPr="007E43A8" w:rsidRDefault="000E6D1D" w:rsidP="007E43A8">
      <w:pPr>
        <w:pStyle w:val="ListParagraph"/>
        <w:numPr>
          <w:ilvl w:val="0"/>
          <w:numId w:val="1"/>
        </w:numPr>
        <w:jc w:val="both"/>
        <w:rPr>
          <w:rFonts w:asciiTheme="minorEastAsia" w:hAnsiTheme="minorEastAsia"/>
          <w:b/>
          <w:color w:val="2F5496" w:themeColor="accent1" w:themeShade="BF"/>
          <w:sz w:val="32"/>
          <w:szCs w:val="32"/>
        </w:rPr>
      </w:pPr>
      <w:r w:rsidRPr="007E43A8">
        <w:rPr>
          <w:rFonts w:asciiTheme="minorEastAsia" w:hAnsiTheme="minorEastAsia"/>
          <w:color w:val="191E23"/>
          <w:sz w:val="32"/>
          <w:szCs w:val="32"/>
          <w:shd w:val="clear" w:color="auto" w:fill="FFFFFF"/>
        </w:rPr>
        <w:t>Best Practice Guidelines for Surveying and Monitoring Gibbons will be available late 2019.</w:t>
      </w:r>
      <w:bookmarkEnd w:id="0"/>
    </w:p>
    <w:sectPr w:rsidR="000E6D1D" w:rsidRPr="007E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FA9"/>
    <w:multiLevelType w:val="hybridMultilevel"/>
    <w:tmpl w:val="1090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1D"/>
    <w:rsid w:val="000E6D1D"/>
    <w:rsid w:val="00261DA6"/>
    <w:rsid w:val="00701595"/>
    <w:rsid w:val="007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6440"/>
  <w15:chartTrackingRefBased/>
  <w15:docId w15:val="{209E2412-6AB8-49F3-8DCA-BA7625E7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6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bbons.asia/wp-content/uploads/2019/04/ascrPrototype.mk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jt.shinyapps.io/ascr_shi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bbons.asia/resource/manual-for-using&#8230;auditory-survey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mjt.github.io/ascr_sh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Cheyne</dc:creator>
  <cp:keywords/>
  <dc:description/>
  <cp:lastModifiedBy>Susan Cheyne</cp:lastModifiedBy>
  <cp:revision>2</cp:revision>
  <dcterms:created xsi:type="dcterms:W3CDTF">2019-04-17T11:02:00Z</dcterms:created>
  <dcterms:modified xsi:type="dcterms:W3CDTF">2019-04-17T11:06:00Z</dcterms:modified>
</cp:coreProperties>
</file>